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Default"/>
        <w:jc w:val="both"/>
        <w:rPr>
          <w:rFonts w:ascii="Marianne" w:hAnsi="Marianne" w:cs="Arial"/>
          <w:b/>
          <w:sz w:val="22"/>
          <w:szCs w:val="22"/>
        </w:rPr>
      </w:pPr>
      <w:r>
        <w:rPr>
          <w:rFonts w:ascii="Marianne" w:hAnsi="Marianne" w:cs="Arial"/>
          <w:b/>
          <w:sz w:val="22"/>
          <w:szCs w:val="22"/>
        </w:rPr>
        <w:t>Annexe 3 portant clauses contractuelles relatives à la protection des données personnelles dans le cadre du marché CISIRH_TMA_CTDSN_2026, ayant pour objet la tierce maintenance applicative et prestations associées du CTDSN</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 CISIRH, situé 41, boulevard Vincent Auriol, 75013 PARIS et représenté par son Directeur, </w:t>
      </w:r>
    </w:p>
    <w:p>
      <w:pPr>
        <w:pStyle w:val="Default"/>
        <w:jc w:val="both"/>
        <w:rPr>
          <w:rFonts w:ascii="Marianne" w:hAnsi="Marianne" w:cs="Arial"/>
          <w:sz w:val="22"/>
          <w:szCs w:val="22"/>
        </w:rPr>
      </w:pPr>
      <w:proofErr w:type="gramStart"/>
      <w:r>
        <w:rPr>
          <w:rFonts w:ascii="Marianne" w:hAnsi="Marianne" w:cs="Arial"/>
          <w:sz w:val="22"/>
          <w:szCs w:val="22"/>
        </w:rPr>
        <w:t>d'une</w:t>
      </w:r>
      <w:proofErr w:type="gramEnd"/>
      <w:r>
        <w:rPr>
          <w:rFonts w:ascii="Marianne" w:hAnsi="Marianne" w:cs="Arial"/>
          <w:sz w:val="22"/>
          <w:szCs w:val="22"/>
        </w:rPr>
        <w:t xml:space="preserve"> part,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ET </w:t>
      </w:r>
    </w:p>
    <w:p>
      <w:pPr>
        <w:pStyle w:val="Default"/>
        <w:jc w:val="both"/>
        <w:rPr>
          <w:rFonts w:ascii="Marianne" w:hAnsi="Marianne" w:cs="Arial"/>
          <w:sz w:val="22"/>
          <w:szCs w:val="22"/>
        </w:rPr>
      </w:pPr>
    </w:p>
    <w:p>
      <w:pPr>
        <w:pStyle w:val="Default"/>
        <w:jc w:val="both"/>
        <w:rPr>
          <w:rFonts w:ascii="Marianne" w:hAnsi="Marianne" w:cs="Arial"/>
          <w:b/>
          <w:bCs/>
          <w:i/>
          <w:iCs/>
          <w:sz w:val="22"/>
          <w:szCs w:val="22"/>
        </w:rPr>
      </w:pPr>
      <w:r>
        <w:rPr>
          <w:rFonts w:ascii="Marianne" w:hAnsi="Marianne" w:cs="Arial"/>
          <w:sz w:val="22"/>
          <w:szCs w:val="22"/>
        </w:rPr>
        <w:t xml:space="preserve">[…], situé à […] et représenté par […] (ci-après, « </w:t>
      </w:r>
      <w:r>
        <w:rPr>
          <w:rFonts w:ascii="Marianne" w:hAnsi="Marianne" w:cs="Arial"/>
          <w:b/>
          <w:bCs/>
          <w:i/>
          <w:iCs/>
          <w:sz w:val="22"/>
          <w:szCs w:val="22"/>
        </w:rPr>
        <w:t>le titulaire du marché »</w:t>
      </w:r>
      <w:r>
        <w:rPr>
          <w:rFonts w:ascii="Marianne" w:hAnsi="Marianne" w:cs="Arial"/>
          <w:sz w:val="22"/>
          <w:szCs w:val="22"/>
        </w:rPr>
        <w:t xml:space="preserve">) </w:t>
      </w:r>
    </w:p>
    <w:p>
      <w:pPr>
        <w:pStyle w:val="Default"/>
        <w:jc w:val="both"/>
        <w:rPr>
          <w:rFonts w:ascii="Marianne" w:hAnsi="Marianne" w:cs="Arial"/>
          <w:sz w:val="22"/>
          <w:szCs w:val="22"/>
        </w:rPr>
      </w:pPr>
      <w:proofErr w:type="gramStart"/>
      <w:r>
        <w:rPr>
          <w:rFonts w:ascii="Marianne" w:hAnsi="Marianne" w:cs="Arial"/>
          <w:sz w:val="22"/>
          <w:szCs w:val="22"/>
        </w:rPr>
        <w:t>d’autre</w:t>
      </w:r>
      <w:proofErr w:type="gramEnd"/>
      <w:r>
        <w:rPr>
          <w:rFonts w:ascii="Marianne" w:hAnsi="Marianne" w:cs="Arial"/>
          <w:sz w:val="22"/>
          <w:szCs w:val="22"/>
        </w:rPr>
        <w:t xml:space="preserve"> part, </w:t>
      </w:r>
    </w:p>
    <w:p>
      <w:pPr>
        <w:pStyle w:val="Default"/>
        <w:jc w:val="both"/>
        <w:rPr>
          <w:rFonts w:ascii="Marianne" w:hAnsi="Marianne" w:cs="Arial"/>
          <w:b/>
          <w:bCs/>
          <w:sz w:val="22"/>
          <w:szCs w:val="22"/>
        </w:rPr>
      </w:pPr>
    </w:p>
    <w:p>
      <w:pPr>
        <w:pStyle w:val="Default"/>
        <w:jc w:val="both"/>
        <w:rPr>
          <w:rFonts w:ascii="Marianne" w:hAnsi="Marianne" w:cs="Arial"/>
          <w:b/>
          <w:bCs/>
          <w:sz w:val="22"/>
          <w:szCs w:val="22"/>
        </w:rPr>
      </w:pPr>
    </w:p>
    <w:p>
      <w:pPr>
        <w:pStyle w:val="Default"/>
        <w:jc w:val="both"/>
        <w:rPr>
          <w:rFonts w:ascii="Marianne" w:hAnsi="Marianne" w:cs="Arial"/>
          <w:sz w:val="22"/>
          <w:szCs w:val="22"/>
        </w:rPr>
      </w:pPr>
      <w:r>
        <w:rPr>
          <w:rFonts w:ascii="Marianne" w:hAnsi="Marianne" w:cs="Arial"/>
          <w:b/>
          <w:bCs/>
          <w:sz w:val="22"/>
          <w:szCs w:val="22"/>
        </w:rPr>
        <w:t xml:space="preserve">I. Objet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Les présentes clauses ont pour objet de définir les conditions dans lesquelles le </w:t>
      </w:r>
      <w:proofErr w:type="gramStart"/>
      <w:r>
        <w:rPr>
          <w:rFonts w:ascii="Marianne" w:hAnsi="Marianne" w:cs="Arial"/>
          <w:sz w:val="22"/>
          <w:szCs w:val="22"/>
        </w:rPr>
        <w:t>titulaire</w:t>
      </w:r>
      <w:proofErr w:type="gramEnd"/>
      <w:r>
        <w:rPr>
          <w:rFonts w:ascii="Marianne" w:hAnsi="Marianne" w:cs="Arial"/>
          <w:sz w:val="22"/>
          <w:szCs w:val="22"/>
        </w:rPr>
        <w:t xml:space="preserve"> du marché peut accéder et traiter les données à caractère personnel définies ci-après, dans la mesure où cet accès est nécessaire à la bonne exécution des prestations objet dudit marché.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Pr>
          <w:rFonts w:ascii="Marianne" w:hAnsi="Marianne" w:cs="Arial"/>
          <w:b/>
          <w:bCs/>
          <w:i/>
          <w:iCs/>
          <w:sz w:val="22"/>
          <w:szCs w:val="22"/>
        </w:rPr>
        <w:t xml:space="preserve">le règlement européen sur la protection des données- RGPD </w:t>
      </w:r>
      <w:r>
        <w:rPr>
          <w:rFonts w:ascii="Marianne" w:hAnsi="Marianne" w:cs="Arial"/>
          <w:sz w:val="22"/>
          <w:szCs w:val="22"/>
        </w:rPr>
        <w:t xml:space="preserve">»). </w:t>
      </w:r>
    </w:p>
    <w:p>
      <w:pPr>
        <w:pStyle w:val="Default"/>
        <w:jc w:val="both"/>
        <w:rPr>
          <w:rFonts w:ascii="Marianne" w:hAnsi="Marianne" w:cs="Arial"/>
          <w:b/>
          <w:bCs/>
          <w:sz w:val="22"/>
          <w:szCs w:val="22"/>
        </w:rPr>
      </w:pPr>
    </w:p>
    <w:p>
      <w:pPr>
        <w:pStyle w:val="Default"/>
        <w:jc w:val="both"/>
        <w:rPr>
          <w:rFonts w:ascii="Marianne" w:hAnsi="Marianne" w:cs="Arial"/>
          <w:b/>
          <w:bCs/>
          <w:sz w:val="22"/>
          <w:szCs w:val="22"/>
        </w:rPr>
      </w:pPr>
    </w:p>
    <w:p>
      <w:pPr>
        <w:pStyle w:val="Default"/>
        <w:jc w:val="both"/>
        <w:rPr>
          <w:rFonts w:ascii="Marianne" w:hAnsi="Marianne" w:cs="Arial"/>
          <w:sz w:val="22"/>
          <w:szCs w:val="22"/>
        </w:rPr>
      </w:pPr>
      <w:r>
        <w:rPr>
          <w:rFonts w:ascii="Marianne" w:hAnsi="Marianne" w:cs="Arial"/>
          <w:b/>
          <w:bCs/>
          <w:sz w:val="22"/>
          <w:szCs w:val="22"/>
        </w:rPr>
        <w:t xml:space="preserve">II. Description du traitement faisant l’objet de la sous-traitance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Le titulaire est autorisé à accéder et à traiter dans la mesure nécessaire à la réalisation des prestations du marché les données à caractère personnel nécessaires pour effectuer les prestations qui sont commandées pour la maintenance corrective et évolutive du traitement automatisé de données à caractère personnel dénommé « concentrateur traducteur de la déclaration sociale nominative » (CTDSN)</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Ce traitement des données traite les données à caractère personnel nécessaires pour constituer et transmettre la déclaration sociale nominative prévue à l’article L. 133-5-3 du code de la sécurité sociale susvisé, des agents de l’État et de ceux des organismes mentionnés au 3. </w:t>
      </w:r>
      <w:proofErr w:type="gramStart"/>
      <w:r>
        <w:rPr>
          <w:rFonts w:ascii="Marianne" w:hAnsi="Marianne" w:cs="Arial"/>
          <w:sz w:val="22"/>
          <w:szCs w:val="22"/>
        </w:rPr>
        <w:t>de</w:t>
      </w:r>
      <w:proofErr w:type="gramEnd"/>
      <w:r>
        <w:rPr>
          <w:rFonts w:ascii="Marianne" w:hAnsi="Marianne" w:cs="Arial"/>
          <w:sz w:val="22"/>
          <w:szCs w:val="22"/>
        </w:rPr>
        <w:t xml:space="preserve"> l'article 1er du décret du 8 octobre 1998 susvisé dont la paie est liquidée par les applications de la direction générale des finances publiques dans les conditions mentionnées à l'article 128 du décret du 7 novembre 2012 susvisé.</w:t>
      </w:r>
    </w:p>
    <w:p>
      <w:pPr>
        <w:pStyle w:val="Default"/>
        <w:jc w:val="both"/>
        <w:rPr>
          <w:rFonts w:ascii="Marianne" w:hAnsi="Marianne" w:cs="Arial"/>
          <w:sz w:val="22"/>
          <w:szCs w:val="22"/>
        </w:rPr>
      </w:pP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lastRenderedPageBreak/>
        <w:t>La nature des opérations réalisées sur les données est :</w:t>
      </w:r>
    </w:p>
    <w:p>
      <w:pPr>
        <w:pStyle w:val="Default"/>
        <w:jc w:val="both"/>
        <w:rPr>
          <w:rFonts w:ascii="Marianne" w:hAnsi="Marianne" w:cs="Arial"/>
          <w:sz w:val="22"/>
          <w:szCs w:val="22"/>
        </w:rPr>
      </w:pPr>
      <w:r>
        <w:rPr>
          <w:rFonts w:ascii="Marianne" w:hAnsi="Marianne" w:cs="Arial"/>
          <w:sz w:val="22"/>
          <w:szCs w:val="22"/>
        </w:rPr>
        <w:t xml:space="preserve">- centraliser les flux de données nécessaires à la constitution de la déclaration sociale nominative ; </w:t>
      </w:r>
    </w:p>
    <w:p>
      <w:pPr>
        <w:pStyle w:val="Default"/>
        <w:jc w:val="both"/>
        <w:rPr>
          <w:rFonts w:ascii="Marianne" w:hAnsi="Marianne" w:cs="Arial"/>
          <w:sz w:val="22"/>
          <w:szCs w:val="22"/>
        </w:rPr>
      </w:pPr>
      <w:r>
        <w:rPr>
          <w:rFonts w:ascii="Marianne" w:hAnsi="Marianne" w:cs="Arial"/>
          <w:sz w:val="22"/>
          <w:szCs w:val="22"/>
        </w:rPr>
        <w:t xml:space="preserve">- effectuer sur ces données les calculs et transformations nécessaires à leur édition selon les modalités fixées chaque année par le ministre chargé de la sécurité sociale ; </w:t>
      </w:r>
    </w:p>
    <w:p>
      <w:pPr>
        <w:pStyle w:val="Default"/>
        <w:jc w:val="both"/>
        <w:rPr>
          <w:rFonts w:ascii="Marianne" w:hAnsi="Marianne" w:cs="Arial"/>
          <w:sz w:val="22"/>
          <w:szCs w:val="22"/>
        </w:rPr>
      </w:pPr>
      <w:r>
        <w:rPr>
          <w:rFonts w:ascii="Marianne" w:hAnsi="Marianne" w:cs="Arial"/>
          <w:sz w:val="22"/>
          <w:szCs w:val="22"/>
        </w:rPr>
        <w:t>- transmettre les déclarations sociales nominatives par employeur ;</w:t>
      </w:r>
    </w:p>
    <w:p>
      <w:pPr>
        <w:pStyle w:val="Default"/>
        <w:jc w:val="both"/>
        <w:rPr>
          <w:rFonts w:ascii="Marianne" w:hAnsi="Marianne" w:cs="Arial"/>
          <w:sz w:val="22"/>
          <w:szCs w:val="22"/>
        </w:rPr>
      </w:pPr>
      <w:r>
        <w:rPr>
          <w:rFonts w:ascii="Marianne" w:hAnsi="Marianne" w:cs="Arial"/>
          <w:sz w:val="22"/>
          <w:szCs w:val="22"/>
        </w:rPr>
        <w:t xml:space="preserve">- gérer les contrôles et les rejets en amont et en aval de la transmission de la déclaration ; </w:t>
      </w:r>
    </w:p>
    <w:p>
      <w:pPr>
        <w:pStyle w:val="Default"/>
        <w:jc w:val="both"/>
        <w:rPr>
          <w:rFonts w:ascii="Marianne" w:hAnsi="Marianne" w:cs="Arial"/>
          <w:sz w:val="22"/>
          <w:szCs w:val="22"/>
        </w:rPr>
      </w:pPr>
      <w:r>
        <w:rPr>
          <w:rFonts w:ascii="Marianne" w:hAnsi="Marianne" w:cs="Arial"/>
          <w:sz w:val="22"/>
          <w:szCs w:val="22"/>
        </w:rPr>
        <w:t>- exploiter les comptes rendus métiers des organismes de protection sociale destinataires de la déclaration sociale nominative ;</w:t>
      </w:r>
    </w:p>
    <w:p>
      <w:pPr>
        <w:pStyle w:val="Default"/>
        <w:jc w:val="both"/>
        <w:rPr>
          <w:rFonts w:ascii="Marianne" w:hAnsi="Marianne" w:cs="Arial"/>
          <w:sz w:val="22"/>
          <w:szCs w:val="22"/>
        </w:rPr>
      </w:pPr>
      <w:r>
        <w:rPr>
          <w:rFonts w:ascii="Marianne" w:hAnsi="Marianne" w:cs="Arial"/>
          <w:sz w:val="22"/>
          <w:szCs w:val="22"/>
        </w:rPr>
        <w:t>- alimenter un système d’informations inter-administrations à visées statistiques.</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Les données à caractère personnel traitées sont définies par un </w:t>
      </w:r>
      <w:r>
        <w:rPr>
          <w:rFonts w:ascii="Marianne" w:eastAsia="NSimSun" w:hAnsi="Marianne" w:cs="Arial"/>
          <w:sz w:val="22"/>
          <w:szCs w:val="22"/>
          <w:shd w:val="clear" w:color="auto" w:fill="FFFFFF"/>
          <w:lang w:bidi="hi-IN"/>
        </w:rPr>
        <w:t>arrêté pris par le ministre chargé de la sécurité sociale.</w:t>
      </w:r>
    </w:p>
    <w:p>
      <w:pPr>
        <w:pStyle w:val="Default"/>
        <w:jc w:val="both"/>
        <w:rPr>
          <w:rFonts w:ascii="Marianne" w:hAnsi="Marianne" w:cs="Arial"/>
          <w:sz w:val="22"/>
          <w:szCs w:val="22"/>
        </w:rPr>
      </w:pP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b/>
          <w:bCs/>
          <w:sz w:val="22"/>
          <w:szCs w:val="22"/>
        </w:rPr>
        <w:t xml:space="preserve">III. Durée du contrat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 présent contrat entre en vigueur à compter de la notification de l’accord-cadre jusqu’à son expiration ou sa résiliation. </w:t>
      </w:r>
    </w:p>
    <w:p>
      <w:pPr>
        <w:pStyle w:val="Default"/>
        <w:jc w:val="both"/>
        <w:rPr>
          <w:rFonts w:ascii="Marianne" w:hAnsi="Marianne" w:cs="Arial"/>
          <w:sz w:val="22"/>
          <w:szCs w:val="22"/>
        </w:rPr>
      </w:pPr>
    </w:p>
    <w:p>
      <w:pPr>
        <w:pStyle w:val="Default"/>
        <w:jc w:val="both"/>
        <w:rPr>
          <w:rFonts w:ascii="Marianne" w:hAnsi="Marianne" w:cs="Arial"/>
          <w:b/>
          <w:bCs/>
          <w:sz w:val="22"/>
          <w:szCs w:val="22"/>
        </w:rPr>
      </w:pPr>
    </w:p>
    <w:p>
      <w:pPr>
        <w:pStyle w:val="Default"/>
        <w:jc w:val="both"/>
        <w:rPr>
          <w:rFonts w:ascii="Marianne" w:hAnsi="Marianne" w:cs="Arial"/>
          <w:sz w:val="22"/>
          <w:szCs w:val="22"/>
        </w:rPr>
      </w:pPr>
      <w:r>
        <w:rPr>
          <w:rFonts w:ascii="Marianne" w:hAnsi="Marianne" w:cs="Arial"/>
          <w:b/>
          <w:bCs/>
          <w:sz w:val="22"/>
          <w:szCs w:val="22"/>
        </w:rPr>
        <w:t xml:space="preserve">IV. Obligations du titulaire du marché </w:t>
      </w:r>
    </w:p>
    <w:p>
      <w:pPr>
        <w:pStyle w:val="Default"/>
        <w:jc w:val="both"/>
        <w:rPr>
          <w:rFonts w:ascii="Marianne" w:hAnsi="Marianne" w:cs="Arial"/>
          <w:sz w:val="22"/>
          <w:szCs w:val="22"/>
        </w:rPr>
      </w:pPr>
    </w:p>
    <w:p>
      <w:pPr>
        <w:spacing w:after="0" w:line="240" w:lineRule="auto"/>
        <w:jc w:val="both"/>
        <w:rPr>
          <w:rFonts w:ascii="Marianne" w:hAnsi="Marianne" w:cs="Arial"/>
        </w:rPr>
      </w:pPr>
      <w:r>
        <w:rPr>
          <w:rFonts w:ascii="Marianne" w:hAnsi="Marianne" w:cs="Arial"/>
        </w:rPr>
        <w:t>Le titulaire du marché s'engage à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1. traiter les données </w:t>
      </w:r>
      <w:r>
        <w:rPr>
          <w:rFonts w:ascii="Marianne" w:hAnsi="Marianne" w:cs="Arial"/>
          <w:b/>
          <w:bCs/>
          <w:sz w:val="22"/>
          <w:szCs w:val="22"/>
        </w:rPr>
        <w:t xml:space="preserve">uniquement pour la ou les seules finalités </w:t>
      </w:r>
      <w:r>
        <w:rPr>
          <w:rFonts w:ascii="Marianne" w:hAnsi="Marianne" w:cs="Arial"/>
          <w:sz w:val="22"/>
          <w:szCs w:val="22"/>
        </w:rPr>
        <w:t xml:space="preserve">qui font l’objet de l’accord-cadre.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2. traiter les données </w:t>
      </w:r>
      <w:r>
        <w:rPr>
          <w:rFonts w:ascii="Marianne" w:hAnsi="Marianne" w:cs="Arial"/>
          <w:b/>
          <w:bCs/>
          <w:sz w:val="22"/>
          <w:szCs w:val="22"/>
        </w:rPr>
        <w:t xml:space="preserve">conformément aux instructions documentées </w:t>
      </w:r>
      <w:r>
        <w:rPr>
          <w:rFonts w:ascii="Marianne" w:hAnsi="Marianne" w:cs="Arial"/>
          <w:sz w:val="22"/>
          <w:szCs w:val="22"/>
        </w:rPr>
        <w:t xml:space="preserve">du CISIRH. Si le titulaire du marché considère qu’une instruction constitue une violation du règlement européen sur la protection des données ou de toute autre disposition du droit de l’Union ou du droit des Etats membres relative à la protection des données, il en </w:t>
      </w:r>
      <w:r>
        <w:rPr>
          <w:rFonts w:ascii="Marianne" w:hAnsi="Marianne" w:cs="Arial"/>
          <w:b/>
          <w:bCs/>
          <w:sz w:val="22"/>
          <w:szCs w:val="22"/>
        </w:rPr>
        <w:t xml:space="preserve">informe immédiatement </w:t>
      </w:r>
      <w:r>
        <w:rPr>
          <w:rFonts w:ascii="Marianne" w:hAnsi="Marianne" w:cs="Arial"/>
          <w:sz w:val="22"/>
          <w:szCs w:val="22"/>
        </w:rPr>
        <w:t xml:space="preserve">le CISIRH.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En outre, si le titulaire du marché est tenu de procéder à un transfert de données vers un pays tiers ou à une organisation internationale, en vertu du droit de l’Union ou du droit de l’Etat membre auquel il est soumis, il doit informer le CISIRH de cette obligation juridique avant le traitement, sauf si le droit concerné interdit une telle information pour des motifs importants d'intérêt public.</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3. garantir la </w:t>
      </w:r>
      <w:r>
        <w:rPr>
          <w:rFonts w:ascii="Marianne" w:hAnsi="Marianne" w:cs="Arial"/>
          <w:b/>
          <w:bCs/>
          <w:sz w:val="22"/>
          <w:szCs w:val="22"/>
        </w:rPr>
        <w:t xml:space="preserve">confidentialité </w:t>
      </w:r>
      <w:r>
        <w:rPr>
          <w:rFonts w:ascii="Marianne" w:hAnsi="Marianne" w:cs="Arial"/>
          <w:sz w:val="22"/>
          <w:szCs w:val="22"/>
        </w:rPr>
        <w:t>des données à caractère personnel traitées dans le cadre du présent contrat.</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lastRenderedPageBreak/>
        <w:t xml:space="preserve">4. veiller à ce que les </w:t>
      </w:r>
      <w:r>
        <w:rPr>
          <w:rFonts w:ascii="Marianne" w:hAnsi="Marianne" w:cs="Arial"/>
          <w:b/>
          <w:bCs/>
          <w:sz w:val="22"/>
          <w:szCs w:val="22"/>
        </w:rPr>
        <w:t xml:space="preserve">personnes autorisées à traiter les données à caractère personnel </w:t>
      </w:r>
      <w:r>
        <w:rPr>
          <w:rFonts w:ascii="Marianne" w:hAnsi="Marianne" w:cs="Arial"/>
          <w:sz w:val="22"/>
          <w:szCs w:val="22"/>
        </w:rPr>
        <w:t xml:space="preserve">en vertu du présent contrat : </w:t>
      </w:r>
    </w:p>
    <w:p>
      <w:pPr>
        <w:pStyle w:val="Default"/>
        <w:numPr>
          <w:ilvl w:val="0"/>
          <w:numId w:val="2"/>
        </w:numPr>
        <w:jc w:val="both"/>
        <w:rPr>
          <w:rFonts w:ascii="Marianne" w:hAnsi="Marianne" w:cs="Arial"/>
          <w:sz w:val="22"/>
          <w:szCs w:val="22"/>
        </w:rPr>
      </w:pPr>
      <w:proofErr w:type="gramStart"/>
      <w:r>
        <w:rPr>
          <w:rFonts w:ascii="Marianne" w:hAnsi="Marianne" w:cs="Arial"/>
          <w:sz w:val="22"/>
          <w:szCs w:val="22"/>
        </w:rPr>
        <w:t>s’engagent</w:t>
      </w:r>
      <w:proofErr w:type="gramEnd"/>
      <w:r>
        <w:rPr>
          <w:rFonts w:ascii="Marianne" w:hAnsi="Marianne" w:cs="Arial"/>
          <w:sz w:val="22"/>
          <w:szCs w:val="22"/>
        </w:rPr>
        <w:t xml:space="preserve"> à respecter la </w:t>
      </w:r>
      <w:r>
        <w:rPr>
          <w:rFonts w:ascii="Marianne" w:hAnsi="Marianne" w:cs="Arial"/>
          <w:b/>
          <w:bCs/>
          <w:sz w:val="22"/>
          <w:szCs w:val="22"/>
        </w:rPr>
        <w:t xml:space="preserve">confidentialité </w:t>
      </w:r>
      <w:r>
        <w:rPr>
          <w:rFonts w:ascii="Marianne" w:hAnsi="Marianne" w:cs="Arial"/>
          <w:sz w:val="22"/>
          <w:szCs w:val="22"/>
        </w:rPr>
        <w:t>ou soient soumises à une obligation légale appropriée de confidentialité ;</w:t>
      </w:r>
    </w:p>
    <w:p>
      <w:pPr>
        <w:pStyle w:val="Default"/>
        <w:numPr>
          <w:ilvl w:val="0"/>
          <w:numId w:val="2"/>
        </w:numPr>
        <w:jc w:val="both"/>
        <w:rPr>
          <w:rFonts w:ascii="Marianne" w:hAnsi="Marianne" w:cs="Arial"/>
          <w:sz w:val="22"/>
          <w:szCs w:val="22"/>
        </w:rPr>
      </w:pPr>
      <w:proofErr w:type="gramStart"/>
      <w:r>
        <w:rPr>
          <w:rFonts w:ascii="Marianne" w:hAnsi="Marianne" w:cs="Arial"/>
          <w:sz w:val="22"/>
          <w:szCs w:val="22"/>
        </w:rPr>
        <w:t>reçoivent</w:t>
      </w:r>
      <w:proofErr w:type="gramEnd"/>
      <w:r>
        <w:rPr>
          <w:rFonts w:ascii="Marianne" w:hAnsi="Marianne" w:cs="Arial"/>
          <w:sz w:val="22"/>
          <w:szCs w:val="22"/>
        </w:rPr>
        <w:t xml:space="preserve"> la </w:t>
      </w:r>
      <w:r>
        <w:rPr>
          <w:rFonts w:ascii="Marianne" w:hAnsi="Marianne" w:cs="Arial"/>
          <w:b/>
          <w:bCs/>
          <w:sz w:val="22"/>
          <w:szCs w:val="22"/>
        </w:rPr>
        <w:t xml:space="preserve">formation </w:t>
      </w:r>
      <w:r>
        <w:rPr>
          <w:rFonts w:ascii="Marianne" w:hAnsi="Marianne" w:cs="Arial"/>
          <w:sz w:val="22"/>
          <w:szCs w:val="22"/>
        </w:rPr>
        <w:t xml:space="preserve">nécessaire en matière de protection des données à caractère personnel </w:t>
      </w:r>
    </w:p>
    <w:p>
      <w:pPr>
        <w:pStyle w:val="Default"/>
        <w:jc w:val="both"/>
        <w:rPr>
          <w:rFonts w:ascii="Marianne" w:hAnsi="Marianne" w:cs="Arial"/>
          <w:sz w:val="22"/>
          <w:szCs w:val="22"/>
        </w:rPr>
      </w:pPr>
    </w:p>
    <w:p>
      <w:pPr>
        <w:pStyle w:val="Default"/>
        <w:jc w:val="both"/>
        <w:rPr>
          <w:rFonts w:ascii="Marianne" w:hAnsi="Marianne" w:cs="Arial"/>
          <w:b/>
          <w:bCs/>
          <w:sz w:val="22"/>
          <w:szCs w:val="22"/>
        </w:rPr>
      </w:pPr>
      <w:r>
        <w:rPr>
          <w:rFonts w:ascii="Marianne" w:hAnsi="Marianne" w:cs="Arial"/>
          <w:sz w:val="22"/>
          <w:szCs w:val="22"/>
        </w:rPr>
        <w:t xml:space="preserve">5. prendre en compte, s’agissant de ses outils, produits, applications ou services, les principes de </w:t>
      </w:r>
      <w:r>
        <w:rPr>
          <w:rFonts w:ascii="Marianne" w:hAnsi="Marianne" w:cs="Arial"/>
          <w:b/>
          <w:bCs/>
          <w:sz w:val="22"/>
          <w:szCs w:val="22"/>
        </w:rPr>
        <w:t xml:space="preserve">protection des données dès la conception </w:t>
      </w:r>
      <w:r>
        <w:rPr>
          <w:rFonts w:ascii="Marianne" w:hAnsi="Marianne" w:cs="Arial"/>
          <w:sz w:val="22"/>
          <w:szCs w:val="22"/>
        </w:rPr>
        <w:t xml:space="preserve">et de </w:t>
      </w:r>
      <w:r>
        <w:rPr>
          <w:rFonts w:ascii="Marianne" w:hAnsi="Marianne" w:cs="Arial"/>
          <w:b/>
          <w:bCs/>
          <w:sz w:val="22"/>
          <w:szCs w:val="22"/>
        </w:rPr>
        <w:t xml:space="preserve">protection des données par défaut. </w:t>
      </w:r>
    </w:p>
    <w:p>
      <w:pPr>
        <w:pStyle w:val="Default"/>
        <w:jc w:val="both"/>
        <w:rPr>
          <w:rFonts w:ascii="Marianne" w:hAnsi="Marianne" w:cs="Arial"/>
          <w:sz w:val="22"/>
          <w:szCs w:val="22"/>
        </w:rPr>
      </w:pPr>
    </w:p>
    <w:p>
      <w:pPr>
        <w:pStyle w:val="Default"/>
        <w:jc w:val="both"/>
        <w:rPr>
          <w:rFonts w:ascii="Marianne" w:hAnsi="Marianne" w:cs="Arial"/>
          <w:b/>
          <w:bCs/>
          <w:sz w:val="22"/>
          <w:szCs w:val="22"/>
        </w:rPr>
      </w:pPr>
      <w:r>
        <w:rPr>
          <w:rFonts w:ascii="Marianne" w:hAnsi="Marianne" w:cs="Arial"/>
          <w:sz w:val="22"/>
          <w:szCs w:val="22"/>
        </w:rPr>
        <w:t xml:space="preserve">6. </w:t>
      </w:r>
      <w:r>
        <w:rPr>
          <w:rFonts w:ascii="Marianne" w:hAnsi="Marianne" w:cs="Arial"/>
          <w:b/>
          <w:bCs/>
          <w:sz w:val="22"/>
          <w:szCs w:val="22"/>
        </w:rPr>
        <w:t xml:space="preserve">Sous-traitance </w:t>
      </w:r>
    </w:p>
    <w:p>
      <w:pPr>
        <w:spacing w:after="0" w:line="240" w:lineRule="auto"/>
        <w:jc w:val="both"/>
        <w:rPr>
          <w:rFonts w:ascii="Marianne" w:hAnsi="Marianne" w:cs="Arial"/>
        </w:rPr>
      </w:pPr>
      <w:r>
        <w:rPr>
          <w:rFonts w:ascii="Marianne" w:hAnsi="Marianne" w:cs="Arial"/>
        </w:rPr>
        <w:t xml:space="preserve">Le titulaire du marché peut faire appel à un sous-traitant (ci-après, « le sous-traitant ») pour mener des activités de traitement spécifiques. Dans ce cas, il informe préalablement et par écrit le CISIRH de tout changement envisagé concernant l’ajout ou le remplacement d’autres sous-traitants. Cette information doit indiquer clairement les activités de traitement sous-traitées, l’identité et les coordonnées du sous-traitant et les dates du contrat de sous-traitance. </w:t>
      </w:r>
    </w:p>
    <w:p>
      <w:pPr>
        <w:spacing w:after="0" w:line="240" w:lineRule="auto"/>
        <w:jc w:val="both"/>
        <w:rPr>
          <w:rFonts w:ascii="Marianne" w:hAnsi="Marianne" w:cs="Arial"/>
        </w:rPr>
      </w:pPr>
    </w:p>
    <w:p>
      <w:pPr>
        <w:spacing w:after="0" w:line="240" w:lineRule="auto"/>
        <w:jc w:val="both"/>
        <w:rPr>
          <w:rFonts w:ascii="Marianne" w:hAnsi="Marianne" w:cs="Arial"/>
        </w:rPr>
      </w:pPr>
      <w:r>
        <w:rPr>
          <w:rFonts w:ascii="Marianne" w:hAnsi="Marianne" w:cs="Arial"/>
        </w:rPr>
        <w:t xml:space="preserve">Le CISIRH dispose d’un délai minium de </w:t>
      </w:r>
      <w:r>
        <w:rPr>
          <w:rFonts w:ascii="Marianne" w:hAnsi="Marianne" w:cs="Arial"/>
          <w:b/>
          <w:bCs/>
          <w:i/>
          <w:iCs/>
        </w:rPr>
        <w:t>1 (un) mois</w:t>
      </w:r>
      <w:r>
        <w:rPr>
          <w:rFonts w:ascii="Marianne" w:hAnsi="Marianne" w:cs="Arial"/>
        </w:rPr>
        <w:t xml:space="preserve"> à compter de la date de réception de cette information pour présenter ses objections. Cette sous-traitance ne peut être effectuée si le responsable de traitement a émis une objection pendant le délai convenu.</w:t>
      </w:r>
    </w:p>
    <w:p>
      <w:pPr>
        <w:spacing w:after="0" w:line="240" w:lineRule="auto"/>
        <w:jc w:val="both"/>
        <w:rPr>
          <w:rFonts w:ascii="Marianne" w:hAnsi="Marianne" w:cs="Arial"/>
        </w:rPr>
      </w:pPr>
    </w:p>
    <w:p>
      <w:pPr>
        <w:spacing w:after="0" w:line="240" w:lineRule="auto"/>
        <w:jc w:val="both"/>
        <w:rPr>
          <w:rFonts w:ascii="Marianne" w:hAnsi="Marianne" w:cs="Arial"/>
        </w:rPr>
      </w:pPr>
      <w:r>
        <w:rPr>
          <w:rFonts w:ascii="Marianne" w:hAnsi="Marianne" w:cs="Arial"/>
        </w:rPr>
        <w:t xml:space="preserve">Le sous-traitant est tenu de respecter les obligations du présent contrat pour le compte et selon les instructions du CISIRH. Il appartient au titulaire du marché de s’assurer que le sous-traitant présente les mêmes garanties suffisantes quant à la mise en </w:t>
      </w:r>
      <w:proofErr w:type="spellStart"/>
      <w:r>
        <w:rPr>
          <w:rFonts w:ascii="Marianne" w:hAnsi="Marianne" w:cs="Arial"/>
        </w:rPr>
        <w:t>oeuvre</w:t>
      </w:r>
      <w:proofErr w:type="spellEnd"/>
      <w:r>
        <w:rPr>
          <w:rFonts w:ascii="Marianne" w:hAnsi="Marianne" w:cs="Arial"/>
        </w:rPr>
        <w:t xml:space="preserve"> de mesures techniques et organisationnelles appropriées de manière à ce que le traitement réponde aux exigences du règlement européen sur la protection des données. Si le sous-traitant ne remplit pas ses obligations en matière de protection des données, le titulaire du marché demeure pleinement responsable devant le CISIRH de l’exécution par le sous-traitant de ses obligations.</w:t>
      </w:r>
    </w:p>
    <w:p>
      <w:pPr>
        <w:spacing w:after="0" w:line="240" w:lineRule="auto"/>
        <w:jc w:val="both"/>
        <w:rPr>
          <w:rFonts w:ascii="Marianne" w:hAnsi="Marianne" w:cs="Arial"/>
        </w:rPr>
      </w:pPr>
    </w:p>
    <w:p>
      <w:pPr>
        <w:spacing w:after="0" w:line="240" w:lineRule="auto"/>
        <w:jc w:val="both"/>
        <w:rPr>
          <w:rFonts w:ascii="Marianne" w:hAnsi="Marianne" w:cs="Arial"/>
        </w:rPr>
      </w:pPr>
      <w:r>
        <w:rPr>
          <w:rFonts w:ascii="Marianne" w:hAnsi="Marianne" w:cs="Arial"/>
        </w:rPr>
        <w:t xml:space="preserve">7. </w:t>
      </w:r>
      <w:r>
        <w:rPr>
          <w:rFonts w:ascii="Marianne" w:hAnsi="Marianne" w:cs="Arial"/>
          <w:b/>
          <w:bCs/>
        </w:rPr>
        <w:t xml:space="preserve">Exercice des droits des personnes </w:t>
      </w:r>
    </w:p>
    <w:p>
      <w:pPr>
        <w:spacing w:after="0" w:line="240" w:lineRule="auto"/>
        <w:jc w:val="both"/>
        <w:rPr>
          <w:rFonts w:ascii="Marianne" w:hAnsi="Marianne" w:cs="Arial"/>
        </w:rPr>
      </w:pPr>
    </w:p>
    <w:p>
      <w:pPr>
        <w:spacing w:after="0" w:line="240" w:lineRule="auto"/>
        <w:jc w:val="both"/>
        <w:rPr>
          <w:rFonts w:ascii="Marianne" w:hAnsi="Marianne" w:cs="Arial"/>
        </w:rPr>
      </w:pPr>
      <w:r>
        <w:rPr>
          <w:rFonts w:ascii="Marianne" w:hAnsi="Marianne" w:cs="Arial"/>
        </w:rPr>
        <w:t>Dans la mesure du possible, le titulaire du marché doit aider le CISIRH à s’acquitter de son obligation auprès du responsable de traitement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pPr>
        <w:rPr>
          <w:rFonts w:ascii="Marianne" w:hAnsi="Marianne" w:cs="Arial"/>
          <w:color w:val="000000"/>
        </w:rPr>
      </w:pPr>
      <w:r>
        <w:rPr>
          <w:rFonts w:ascii="Marianne" w:hAnsi="Marianne" w:cs="Arial"/>
        </w:rPr>
        <w:br w:type="page"/>
      </w:r>
    </w:p>
    <w:p>
      <w:pPr>
        <w:pStyle w:val="Default"/>
        <w:jc w:val="both"/>
        <w:rPr>
          <w:rFonts w:ascii="Marianne" w:hAnsi="Marianne" w:cs="Arial"/>
          <w:sz w:val="22"/>
          <w:szCs w:val="22"/>
        </w:rPr>
      </w:pPr>
    </w:p>
    <w:p>
      <w:pPr>
        <w:pStyle w:val="Default"/>
        <w:jc w:val="both"/>
        <w:rPr>
          <w:rFonts w:ascii="Marianne" w:hAnsi="Marianne" w:cs="Arial"/>
          <w:b/>
          <w:bCs/>
          <w:sz w:val="22"/>
          <w:szCs w:val="22"/>
        </w:rPr>
      </w:pPr>
      <w:r>
        <w:rPr>
          <w:rFonts w:ascii="Marianne" w:hAnsi="Marianne" w:cs="Arial"/>
          <w:sz w:val="22"/>
          <w:szCs w:val="22"/>
        </w:rPr>
        <w:t xml:space="preserve">8. </w:t>
      </w:r>
      <w:r>
        <w:rPr>
          <w:rFonts w:ascii="Marianne" w:hAnsi="Marianne" w:cs="Arial"/>
          <w:b/>
          <w:bCs/>
          <w:sz w:val="22"/>
          <w:szCs w:val="22"/>
        </w:rPr>
        <w:t xml:space="preserve">Notification des violations de données à caractère personnel </w:t>
      </w:r>
    </w:p>
    <w:p>
      <w:pPr>
        <w:spacing w:after="0" w:line="240" w:lineRule="auto"/>
        <w:jc w:val="both"/>
        <w:rPr>
          <w:rFonts w:ascii="Marianne" w:hAnsi="Marianne" w:cs="Arial"/>
        </w:rPr>
      </w:pPr>
    </w:p>
    <w:p>
      <w:pPr>
        <w:spacing w:after="0" w:line="240" w:lineRule="auto"/>
        <w:jc w:val="both"/>
        <w:rPr>
          <w:rFonts w:ascii="Marianne" w:hAnsi="Marianne" w:cs="Arial"/>
        </w:rPr>
      </w:pPr>
      <w:r>
        <w:rPr>
          <w:rFonts w:ascii="Marianne" w:hAnsi="Marianne" w:cs="Arial"/>
        </w:rPr>
        <w:t>Le titulaire du marché notifie au CISIRH toute violation de données à caractère personnel dans un délai maximum de 24 heures après en avoir pris connaissance et par courriel adressé au chef du bureau du CISIRH ayant commandée la prestation. Cette notification est accompagnée de toute documentation utile afin de permettre au CISIRH, si nécessaire, de notifier cette violation à l’autorité de contrôle compétente.</w:t>
      </w:r>
    </w:p>
    <w:p>
      <w:pPr>
        <w:spacing w:after="0" w:line="240" w:lineRule="auto"/>
        <w:jc w:val="both"/>
        <w:rPr>
          <w:rFonts w:ascii="Marianne" w:hAnsi="Marianne" w:cs="Arial"/>
        </w:rPr>
      </w:pPr>
    </w:p>
    <w:p>
      <w:pPr>
        <w:pStyle w:val="Default"/>
        <w:jc w:val="both"/>
        <w:rPr>
          <w:rFonts w:ascii="Marianne" w:hAnsi="Marianne" w:cs="Arial"/>
          <w:sz w:val="22"/>
          <w:szCs w:val="22"/>
        </w:rPr>
      </w:pPr>
      <w:r>
        <w:rPr>
          <w:rFonts w:ascii="Marianne" w:hAnsi="Marianne" w:cs="Arial"/>
          <w:sz w:val="22"/>
          <w:szCs w:val="22"/>
        </w:rPr>
        <w:t xml:space="preserve">9. </w:t>
      </w:r>
      <w:r>
        <w:rPr>
          <w:rFonts w:ascii="Marianne" w:hAnsi="Marianne" w:cs="Arial"/>
          <w:b/>
          <w:bCs/>
          <w:sz w:val="22"/>
          <w:szCs w:val="22"/>
        </w:rPr>
        <w:t xml:space="preserve">Aide du titulaire du marché dans le cadre du respect par le CISIRH de ses obligations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 titulaire du marché aide le CISIRH pour : </w:t>
      </w:r>
    </w:p>
    <w:p>
      <w:pPr>
        <w:pStyle w:val="Default"/>
        <w:jc w:val="both"/>
        <w:rPr>
          <w:rFonts w:ascii="Marianne" w:hAnsi="Marianne" w:cs="Arial"/>
          <w:sz w:val="22"/>
          <w:szCs w:val="22"/>
        </w:rPr>
      </w:pPr>
      <w:r>
        <w:rPr>
          <w:rFonts w:ascii="Marianne" w:hAnsi="Marianne" w:cs="Arial"/>
          <w:sz w:val="22"/>
          <w:szCs w:val="22"/>
        </w:rPr>
        <w:t xml:space="preserve">- la réalisation d’analyses d’impact relative à la protection des données ; </w:t>
      </w:r>
    </w:p>
    <w:p>
      <w:pPr>
        <w:spacing w:after="0" w:line="240" w:lineRule="auto"/>
        <w:jc w:val="both"/>
        <w:rPr>
          <w:rFonts w:ascii="Marianne" w:hAnsi="Marianne" w:cs="Arial"/>
        </w:rPr>
      </w:pPr>
      <w:r>
        <w:rPr>
          <w:rFonts w:ascii="Marianne" w:hAnsi="Marianne" w:cs="Arial"/>
        </w:rPr>
        <w:t>- la réalisation de la consultation préalable de l’autorité de contrôle.</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10. </w:t>
      </w:r>
      <w:r>
        <w:rPr>
          <w:rFonts w:ascii="Marianne" w:hAnsi="Marianne" w:cs="Arial"/>
          <w:b/>
          <w:bCs/>
          <w:sz w:val="22"/>
          <w:szCs w:val="22"/>
        </w:rPr>
        <w:t xml:space="preserve">Mesures de sécurité </w:t>
      </w:r>
    </w:p>
    <w:p>
      <w:pPr>
        <w:spacing w:after="0" w:line="240" w:lineRule="auto"/>
        <w:jc w:val="both"/>
        <w:rPr>
          <w:rFonts w:ascii="Marianne" w:hAnsi="Marianne" w:cs="Arial"/>
        </w:rPr>
      </w:pPr>
    </w:p>
    <w:p>
      <w:pPr>
        <w:spacing w:after="0" w:line="240" w:lineRule="auto"/>
        <w:jc w:val="both"/>
        <w:rPr>
          <w:rFonts w:ascii="Marianne" w:hAnsi="Marianne" w:cs="Arial"/>
        </w:rPr>
      </w:pPr>
      <w:r>
        <w:rPr>
          <w:rFonts w:ascii="Marianne" w:hAnsi="Marianne" w:cs="Arial"/>
        </w:rPr>
        <w:t xml:space="preserve">Le titulaire du marché s’engage à mettre en œuvre les mesures de sécurité décrites ci-dessous afin de garantir, conformément au RGPD, la protection des données personnelles :  </w:t>
      </w:r>
    </w:p>
    <w:p>
      <w:pPr>
        <w:spacing w:after="0" w:line="240" w:lineRule="auto"/>
        <w:jc w:val="both"/>
        <w:rPr>
          <w:rFonts w:ascii="Marianne" w:hAnsi="Marianne" w:cs="Arial"/>
        </w:rPr>
      </w:pPr>
    </w:p>
    <w:p>
      <w:pPr>
        <w:autoSpaceDE w:val="0"/>
        <w:autoSpaceDN w:val="0"/>
        <w:adjustRightInd w:val="0"/>
        <w:spacing w:after="0" w:line="240" w:lineRule="auto"/>
        <w:rPr>
          <w:rFonts w:ascii="Marianne" w:hAnsi="Marianne" w:cs="Georgia"/>
          <w:color w:val="000000"/>
        </w:rPr>
      </w:pPr>
      <w:r>
        <w:rPr>
          <w:rFonts w:ascii="Marianne" w:hAnsi="Marianne" w:cs="Georgia"/>
          <w:color w:val="000000"/>
        </w:rPr>
        <w:t>[</w:t>
      </w:r>
      <w:r>
        <w:rPr>
          <w:rFonts w:ascii="Marianne" w:hAnsi="Marianne" w:cs="Georgia"/>
          <w:i/>
          <w:iCs/>
          <w:color w:val="000000"/>
        </w:rPr>
        <w:t xml:space="preserve">Décrire les mesures techniques et organisationnelles garantissant un niveau de sécurité adapté au risque, y compris, entre autres </w:t>
      </w:r>
    </w:p>
    <w:p>
      <w:pPr>
        <w:pStyle w:val="Paragraphedeliste"/>
        <w:numPr>
          <w:ilvl w:val="0"/>
          <w:numId w:val="3"/>
        </w:numPr>
        <w:autoSpaceDE w:val="0"/>
        <w:autoSpaceDN w:val="0"/>
        <w:adjustRightInd w:val="0"/>
        <w:spacing w:after="121" w:line="240" w:lineRule="auto"/>
        <w:rPr>
          <w:rFonts w:ascii="Marianne" w:hAnsi="Marianne" w:cs="Georgia"/>
          <w:color w:val="000000"/>
        </w:rPr>
      </w:pPr>
      <w:proofErr w:type="gramStart"/>
      <w:r>
        <w:rPr>
          <w:rFonts w:ascii="Marianne" w:hAnsi="Marianne" w:cs="Georgia"/>
          <w:i/>
          <w:iCs/>
          <w:color w:val="000000"/>
        </w:rPr>
        <w:t>la</w:t>
      </w:r>
      <w:proofErr w:type="gramEnd"/>
      <w:r>
        <w:rPr>
          <w:rFonts w:ascii="Marianne" w:hAnsi="Marianne" w:cs="Georgia"/>
          <w:i/>
          <w:iCs/>
          <w:color w:val="000000"/>
        </w:rPr>
        <w:t xml:space="preserve"> </w:t>
      </w:r>
      <w:proofErr w:type="spellStart"/>
      <w:r>
        <w:rPr>
          <w:rFonts w:ascii="Marianne" w:hAnsi="Marianne" w:cs="Georgia"/>
          <w:i/>
          <w:iCs/>
          <w:color w:val="000000"/>
        </w:rPr>
        <w:t>pseudonymisation</w:t>
      </w:r>
      <w:proofErr w:type="spellEnd"/>
      <w:r>
        <w:rPr>
          <w:rFonts w:ascii="Marianne" w:hAnsi="Marianne" w:cs="Georgia"/>
          <w:i/>
          <w:iCs/>
          <w:color w:val="000000"/>
        </w:rPr>
        <w:t xml:space="preserve"> et le chiffrement des données à caractère personnel </w:t>
      </w:r>
    </w:p>
    <w:p>
      <w:pPr>
        <w:pStyle w:val="Paragraphedeliste"/>
        <w:numPr>
          <w:ilvl w:val="0"/>
          <w:numId w:val="3"/>
        </w:numPr>
        <w:autoSpaceDE w:val="0"/>
        <w:autoSpaceDN w:val="0"/>
        <w:adjustRightInd w:val="0"/>
        <w:spacing w:after="121" w:line="240" w:lineRule="auto"/>
        <w:rPr>
          <w:rFonts w:ascii="Marianne" w:hAnsi="Marianne" w:cs="Georgia"/>
          <w:i/>
          <w:iCs/>
          <w:color w:val="000000"/>
        </w:rPr>
      </w:pPr>
      <w:proofErr w:type="gramStart"/>
      <w:r>
        <w:rPr>
          <w:rFonts w:ascii="Marianne" w:hAnsi="Marianne" w:cs="Georgia"/>
          <w:i/>
          <w:iCs/>
          <w:color w:val="000000"/>
        </w:rPr>
        <w:t>les</w:t>
      </w:r>
      <w:proofErr w:type="gramEnd"/>
      <w:r>
        <w:rPr>
          <w:rFonts w:ascii="Marianne" w:hAnsi="Marianne" w:cs="Georgia"/>
          <w:i/>
          <w:iCs/>
          <w:color w:val="000000"/>
        </w:rPr>
        <w:t xml:space="preserve"> moyens permettant de garantir la confidentialité, l'intégrité, la disponibilité et la résilience constantes des systèmes et des services de traitement ; </w:t>
      </w:r>
    </w:p>
    <w:p>
      <w:pPr>
        <w:pStyle w:val="Paragraphedeliste"/>
        <w:numPr>
          <w:ilvl w:val="0"/>
          <w:numId w:val="3"/>
        </w:numPr>
        <w:autoSpaceDE w:val="0"/>
        <w:autoSpaceDN w:val="0"/>
        <w:adjustRightInd w:val="0"/>
        <w:spacing w:after="121" w:line="240" w:lineRule="auto"/>
        <w:rPr>
          <w:rFonts w:ascii="Marianne" w:hAnsi="Marianne" w:cs="Georgia"/>
          <w:i/>
          <w:iCs/>
          <w:color w:val="000000"/>
        </w:rPr>
      </w:pPr>
      <w:proofErr w:type="gramStart"/>
      <w:r>
        <w:rPr>
          <w:rFonts w:ascii="Marianne" w:hAnsi="Marianne" w:cs="Georgia"/>
          <w:i/>
          <w:iCs/>
          <w:color w:val="000000"/>
        </w:rPr>
        <w:t>les</w:t>
      </w:r>
      <w:proofErr w:type="gramEnd"/>
      <w:r>
        <w:rPr>
          <w:rFonts w:ascii="Marianne" w:hAnsi="Marianne" w:cs="Georgia"/>
          <w:i/>
          <w:iCs/>
          <w:color w:val="000000"/>
        </w:rPr>
        <w:t xml:space="preserve"> moyens permettant de rétablir la disponibilité des données à caractère personnel et l'accès à celles-ci dans des délais appropriés en cas d'incident physique ou technique ; </w:t>
      </w:r>
    </w:p>
    <w:p>
      <w:pPr>
        <w:pStyle w:val="Paragraphedeliste"/>
        <w:numPr>
          <w:ilvl w:val="0"/>
          <w:numId w:val="3"/>
        </w:numPr>
        <w:autoSpaceDE w:val="0"/>
        <w:autoSpaceDN w:val="0"/>
        <w:adjustRightInd w:val="0"/>
        <w:spacing w:after="121" w:line="240" w:lineRule="auto"/>
        <w:rPr>
          <w:rFonts w:ascii="Marianne" w:hAnsi="Marianne" w:cs="Georgia"/>
          <w:i/>
          <w:iCs/>
          <w:color w:val="000000"/>
        </w:rPr>
      </w:pPr>
      <w:proofErr w:type="gramStart"/>
      <w:r>
        <w:rPr>
          <w:rFonts w:ascii="Marianne" w:hAnsi="Marianne" w:cs="Georgia"/>
          <w:i/>
          <w:iCs/>
          <w:color w:val="000000"/>
        </w:rPr>
        <w:t>une</w:t>
      </w:r>
      <w:proofErr w:type="gramEnd"/>
      <w:r>
        <w:rPr>
          <w:rFonts w:ascii="Marianne" w:hAnsi="Marianne" w:cs="Georgia"/>
          <w:i/>
          <w:iCs/>
          <w:color w:val="000000"/>
        </w:rPr>
        <w:t xml:space="preserve"> procédure visant à tester, à ’analyser et à ’évaluer régulièrement l'efficacité des mesures techniques et organisationnelles pour assurer la sécurité du traitement]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11. </w:t>
      </w:r>
      <w:r>
        <w:rPr>
          <w:rFonts w:ascii="Marianne" w:hAnsi="Marianne" w:cs="Arial"/>
          <w:b/>
          <w:bCs/>
          <w:sz w:val="22"/>
          <w:szCs w:val="22"/>
        </w:rPr>
        <w:t xml:space="preserve">Sort des données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Au terme du marché ou à l’issue de sa résiliation, le titulaire du marché s’engage à détruire toutes les données à caractère personnel.</w:t>
      </w:r>
    </w:p>
    <w:p>
      <w:pPr>
        <w:rPr>
          <w:rFonts w:ascii="Marianne" w:hAnsi="Marianne" w:cs="Arial"/>
          <w:color w:val="000000"/>
        </w:rPr>
      </w:pPr>
      <w:r>
        <w:rPr>
          <w:rFonts w:ascii="Marianne" w:hAnsi="Marianne" w:cs="Arial"/>
        </w:rPr>
        <w:br w:type="page"/>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12. </w:t>
      </w:r>
      <w:r>
        <w:rPr>
          <w:rFonts w:ascii="Marianne" w:hAnsi="Marianne" w:cs="Arial"/>
          <w:b/>
          <w:bCs/>
          <w:sz w:val="22"/>
          <w:szCs w:val="22"/>
        </w:rPr>
        <w:t xml:space="preserve">Délégué à la protection des données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 titulaire du marché communique au responsable de traitement </w:t>
      </w:r>
      <w:r>
        <w:rPr>
          <w:rFonts w:ascii="Marianne" w:hAnsi="Marianne" w:cs="Arial"/>
          <w:b/>
          <w:bCs/>
          <w:sz w:val="22"/>
          <w:szCs w:val="22"/>
        </w:rPr>
        <w:t>le nom et les coordonnées de son délégué à la protection des données</w:t>
      </w:r>
      <w:r>
        <w:rPr>
          <w:rFonts w:ascii="Marianne" w:hAnsi="Marianne" w:cs="Arial"/>
          <w:sz w:val="22"/>
          <w:szCs w:val="22"/>
        </w:rPr>
        <w:t xml:space="preserve">, s’il en a désigné un conformément à l’article 37 du règlement européen sur la protection des données.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13. </w:t>
      </w:r>
      <w:r>
        <w:rPr>
          <w:rFonts w:ascii="Marianne" w:hAnsi="Marianne" w:cs="Arial"/>
          <w:b/>
          <w:bCs/>
          <w:sz w:val="22"/>
          <w:szCs w:val="22"/>
        </w:rPr>
        <w:t xml:space="preserve">Registre des catégories d’activités de traitement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 titulaire du marché déclare </w:t>
      </w:r>
      <w:r>
        <w:rPr>
          <w:rFonts w:ascii="Marianne" w:hAnsi="Marianne" w:cs="Arial"/>
          <w:b/>
          <w:bCs/>
          <w:sz w:val="22"/>
          <w:szCs w:val="22"/>
        </w:rPr>
        <w:t xml:space="preserve">tenir par écrit un registre </w:t>
      </w:r>
      <w:r>
        <w:rPr>
          <w:rFonts w:ascii="Marianne" w:hAnsi="Marianne" w:cs="Arial"/>
          <w:sz w:val="22"/>
          <w:szCs w:val="22"/>
        </w:rPr>
        <w:t xml:space="preserve">de toutes les catégories d’activités de traitement effectuées à l’occasion de la réalisation du marché comprenant : </w:t>
      </w:r>
    </w:p>
    <w:p>
      <w:pPr>
        <w:pStyle w:val="Default"/>
        <w:jc w:val="both"/>
        <w:rPr>
          <w:rFonts w:ascii="Marianne" w:hAnsi="Marianne" w:cs="Arial"/>
          <w:sz w:val="22"/>
          <w:szCs w:val="22"/>
        </w:rPr>
      </w:pPr>
    </w:p>
    <w:p>
      <w:pPr>
        <w:pStyle w:val="Default"/>
        <w:numPr>
          <w:ilvl w:val="0"/>
          <w:numId w:val="1"/>
        </w:numPr>
        <w:jc w:val="both"/>
        <w:rPr>
          <w:rFonts w:ascii="Marianne" w:hAnsi="Marianne" w:cs="Arial"/>
          <w:sz w:val="22"/>
          <w:szCs w:val="22"/>
        </w:rPr>
      </w:pPr>
      <w:proofErr w:type="gramStart"/>
      <w:r>
        <w:rPr>
          <w:rFonts w:ascii="Marianne" w:hAnsi="Marianne" w:cs="Arial"/>
          <w:sz w:val="22"/>
          <w:szCs w:val="22"/>
        </w:rPr>
        <w:t>le</w:t>
      </w:r>
      <w:proofErr w:type="gramEnd"/>
      <w:r>
        <w:rPr>
          <w:rFonts w:ascii="Marianne" w:hAnsi="Marianne" w:cs="Arial"/>
          <w:sz w:val="22"/>
          <w:szCs w:val="22"/>
        </w:rPr>
        <w:t xml:space="preserve"> nom et les coordonnées du responsable de traitement pour le compte duquel il agit, des éventuels sous-traitants et, le cas échéant, du délégué à la protection des données ; </w:t>
      </w:r>
    </w:p>
    <w:p>
      <w:pPr>
        <w:pStyle w:val="Default"/>
        <w:ind w:left="360"/>
        <w:jc w:val="both"/>
        <w:rPr>
          <w:rFonts w:ascii="Marianne" w:hAnsi="Marianne" w:cs="Arial"/>
          <w:sz w:val="22"/>
          <w:szCs w:val="22"/>
        </w:rPr>
      </w:pPr>
    </w:p>
    <w:p>
      <w:pPr>
        <w:pStyle w:val="Default"/>
        <w:numPr>
          <w:ilvl w:val="0"/>
          <w:numId w:val="1"/>
        </w:numPr>
        <w:jc w:val="both"/>
        <w:rPr>
          <w:rFonts w:ascii="Marianne" w:hAnsi="Marianne" w:cs="Arial"/>
          <w:sz w:val="22"/>
          <w:szCs w:val="22"/>
        </w:rPr>
      </w:pPr>
      <w:proofErr w:type="gramStart"/>
      <w:r>
        <w:rPr>
          <w:rFonts w:ascii="Marianne" w:hAnsi="Marianne" w:cs="Arial"/>
          <w:sz w:val="22"/>
          <w:szCs w:val="22"/>
        </w:rPr>
        <w:t>les</w:t>
      </w:r>
      <w:proofErr w:type="gramEnd"/>
      <w:r>
        <w:rPr>
          <w:rFonts w:ascii="Marianne" w:hAnsi="Marianne" w:cs="Arial"/>
          <w:sz w:val="22"/>
          <w:szCs w:val="22"/>
        </w:rPr>
        <w:t xml:space="preserve"> catégories de traitements effectués pour le compte du responsable du traitement ; </w:t>
      </w:r>
    </w:p>
    <w:p>
      <w:pPr>
        <w:pStyle w:val="Default"/>
        <w:ind w:left="360"/>
        <w:jc w:val="both"/>
        <w:rPr>
          <w:rFonts w:ascii="Marianne" w:hAnsi="Marianne" w:cs="Arial"/>
          <w:sz w:val="22"/>
          <w:szCs w:val="22"/>
        </w:rPr>
      </w:pPr>
    </w:p>
    <w:p>
      <w:pPr>
        <w:pStyle w:val="Default"/>
        <w:numPr>
          <w:ilvl w:val="0"/>
          <w:numId w:val="1"/>
        </w:numPr>
        <w:jc w:val="both"/>
        <w:rPr>
          <w:rFonts w:ascii="Marianne" w:hAnsi="Marianne" w:cs="Arial"/>
          <w:sz w:val="22"/>
          <w:szCs w:val="22"/>
        </w:rPr>
      </w:pPr>
      <w:proofErr w:type="gramStart"/>
      <w:r>
        <w:rPr>
          <w:rFonts w:ascii="Marianne" w:hAnsi="Marianne" w:cs="Arial"/>
          <w:sz w:val="22"/>
          <w:szCs w:val="22"/>
        </w:rPr>
        <w:t>le</w:t>
      </w:r>
      <w:proofErr w:type="gramEnd"/>
      <w:r>
        <w:rPr>
          <w:rFonts w:ascii="Marianne" w:hAnsi="Marianne" w:cs="Arial"/>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 </w:t>
      </w:r>
    </w:p>
    <w:p>
      <w:pPr>
        <w:pStyle w:val="Default"/>
        <w:ind w:left="360"/>
        <w:jc w:val="both"/>
        <w:rPr>
          <w:rFonts w:ascii="Marianne" w:hAnsi="Marianne" w:cs="Arial"/>
          <w:sz w:val="22"/>
          <w:szCs w:val="22"/>
        </w:rPr>
      </w:pPr>
    </w:p>
    <w:p>
      <w:pPr>
        <w:pStyle w:val="Default"/>
        <w:numPr>
          <w:ilvl w:val="0"/>
          <w:numId w:val="1"/>
        </w:numPr>
        <w:jc w:val="both"/>
        <w:rPr>
          <w:rFonts w:ascii="Marianne" w:hAnsi="Marianne" w:cs="Arial"/>
          <w:sz w:val="22"/>
          <w:szCs w:val="22"/>
        </w:rPr>
      </w:pPr>
      <w:proofErr w:type="gramStart"/>
      <w:r>
        <w:rPr>
          <w:rFonts w:ascii="Marianne" w:hAnsi="Marianne" w:cs="Arial"/>
          <w:sz w:val="22"/>
          <w:szCs w:val="22"/>
        </w:rPr>
        <w:t>dans</w:t>
      </w:r>
      <w:proofErr w:type="gramEnd"/>
      <w:r>
        <w:rPr>
          <w:rFonts w:ascii="Marianne" w:hAnsi="Marianne" w:cs="Arial"/>
          <w:sz w:val="22"/>
          <w:szCs w:val="22"/>
        </w:rPr>
        <w:t xml:space="preserve"> la mesure du possible, une description générale des mesures de sécurité techniques et organisationnelles, y compris entre autres, selon les besoins : </w:t>
      </w:r>
    </w:p>
    <w:p>
      <w:pPr>
        <w:pStyle w:val="Default"/>
        <w:ind w:left="360"/>
        <w:jc w:val="both"/>
        <w:rPr>
          <w:rFonts w:ascii="Marianne" w:hAnsi="Marianne" w:cs="Arial"/>
          <w:sz w:val="22"/>
          <w:szCs w:val="22"/>
        </w:rPr>
      </w:pPr>
    </w:p>
    <w:p>
      <w:pPr>
        <w:pStyle w:val="Default"/>
        <w:numPr>
          <w:ilvl w:val="1"/>
          <w:numId w:val="1"/>
        </w:numPr>
        <w:jc w:val="both"/>
        <w:rPr>
          <w:rFonts w:ascii="Marianne" w:hAnsi="Marianne" w:cs="Arial"/>
          <w:sz w:val="22"/>
          <w:szCs w:val="22"/>
        </w:rPr>
      </w:pPr>
      <w:proofErr w:type="gramStart"/>
      <w:r>
        <w:rPr>
          <w:rFonts w:ascii="Marianne" w:hAnsi="Marianne" w:cs="Arial"/>
          <w:sz w:val="22"/>
          <w:szCs w:val="22"/>
        </w:rPr>
        <w:t>la</w:t>
      </w:r>
      <w:proofErr w:type="gramEnd"/>
      <w:r>
        <w:rPr>
          <w:rFonts w:ascii="Marianne" w:hAnsi="Marianne" w:cs="Arial"/>
          <w:sz w:val="22"/>
          <w:szCs w:val="22"/>
        </w:rPr>
        <w:t xml:space="preserve"> </w:t>
      </w:r>
      <w:proofErr w:type="spellStart"/>
      <w:r>
        <w:rPr>
          <w:rFonts w:ascii="Marianne" w:hAnsi="Marianne" w:cs="Arial"/>
          <w:sz w:val="22"/>
          <w:szCs w:val="22"/>
        </w:rPr>
        <w:t>pseudonymisation</w:t>
      </w:r>
      <w:proofErr w:type="spellEnd"/>
      <w:r>
        <w:rPr>
          <w:rFonts w:ascii="Marianne" w:hAnsi="Marianne" w:cs="Arial"/>
          <w:sz w:val="22"/>
          <w:szCs w:val="22"/>
        </w:rPr>
        <w:t xml:space="preserve"> et le chiffrement des données à caractère personnel ; </w:t>
      </w:r>
    </w:p>
    <w:p>
      <w:pPr>
        <w:pStyle w:val="Default"/>
        <w:numPr>
          <w:ilvl w:val="1"/>
          <w:numId w:val="1"/>
        </w:numPr>
        <w:jc w:val="both"/>
        <w:rPr>
          <w:rFonts w:ascii="Marianne" w:hAnsi="Marianne" w:cs="Arial"/>
          <w:sz w:val="22"/>
          <w:szCs w:val="22"/>
        </w:rPr>
      </w:pPr>
      <w:proofErr w:type="gramStart"/>
      <w:r>
        <w:rPr>
          <w:rFonts w:ascii="Marianne" w:hAnsi="Marianne" w:cs="Arial"/>
          <w:sz w:val="22"/>
          <w:szCs w:val="22"/>
        </w:rPr>
        <w:t>des</w:t>
      </w:r>
      <w:proofErr w:type="gramEnd"/>
      <w:r>
        <w:rPr>
          <w:rFonts w:ascii="Marianne" w:hAnsi="Marianne" w:cs="Arial"/>
          <w:sz w:val="22"/>
          <w:szCs w:val="22"/>
        </w:rPr>
        <w:t xml:space="preserve"> moyens permettant de garantir la confidentialité, l'intégrité, la disponibilité et la résilience constantes des systèmes et des services de traitement ; </w:t>
      </w:r>
    </w:p>
    <w:p>
      <w:pPr>
        <w:pStyle w:val="Default"/>
        <w:numPr>
          <w:ilvl w:val="1"/>
          <w:numId w:val="1"/>
        </w:numPr>
        <w:jc w:val="both"/>
        <w:rPr>
          <w:rFonts w:ascii="Marianne" w:hAnsi="Marianne" w:cs="Arial"/>
          <w:sz w:val="22"/>
          <w:szCs w:val="22"/>
        </w:rPr>
      </w:pPr>
      <w:proofErr w:type="gramStart"/>
      <w:r>
        <w:rPr>
          <w:rFonts w:ascii="Marianne" w:hAnsi="Marianne" w:cs="Arial"/>
          <w:sz w:val="22"/>
          <w:szCs w:val="22"/>
        </w:rPr>
        <w:t>des</w:t>
      </w:r>
      <w:proofErr w:type="gramEnd"/>
      <w:r>
        <w:rPr>
          <w:rFonts w:ascii="Marianne" w:hAnsi="Marianne" w:cs="Arial"/>
          <w:sz w:val="22"/>
          <w:szCs w:val="22"/>
        </w:rPr>
        <w:t xml:space="preserve"> moyens permettant de rétablir la disponibilité des données à caractère personnel et l'accès à celles-ci dans des délais appropriés en cas d'incident physique ou technique ; </w:t>
      </w:r>
    </w:p>
    <w:p>
      <w:pPr>
        <w:pStyle w:val="Default"/>
        <w:numPr>
          <w:ilvl w:val="1"/>
          <w:numId w:val="1"/>
        </w:numPr>
        <w:jc w:val="both"/>
        <w:rPr>
          <w:rFonts w:ascii="Marianne" w:hAnsi="Marianne" w:cs="Arial"/>
          <w:sz w:val="22"/>
          <w:szCs w:val="22"/>
        </w:rPr>
      </w:pPr>
      <w:proofErr w:type="gramStart"/>
      <w:r>
        <w:rPr>
          <w:rFonts w:ascii="Marianne" w:hAnsi="Marianne" w:cs="Arial"/>
          <w:sz w:val="22"/>
          <w:szCs w:val="22"/>
        </w:rPr>
        <w:t>une</w:t>
      </w:r>
      <w:proofErr w:type="gramEnd"/>
      <w:r>
        <w:rPr>
          <w:rFonts w:ascii="Marianne" w:hAnsi="Marianne" w:cs="Arial"/>
          <w:sz w:val="22"/>
          <w:szCs w:val="22"/>
        </w:rPr>
        <w:t xml:space="preserve"> procédure visant à tester, à analyser et à évaluer régulièrement l'efficacité des mesures techniques et organisationnelles pour assurer la sécurité du traitement. </w:t>
      </w:r>
    </w:p>
    <w:p>
      <w:pPr>
        <w:spacing w:after="0" w:line="240" w:lineRule="auto"/>
        <w:jc w:val="both"/>
        <w:rPr>
          <w:rFonts w:ascii="Marianne" w:hAnsi="Marianne" w:cs="Arial"/>
        </w:rPr>
      </w:pPr>
    </w:p>
    <w:p>
      <w:pPr>
        <w:rPr>
          <w:rFonts w:ascii="Marianne" w:hAnsi="Marianne" w:cs="Arial"/>
          <w:color w:val="000000"/>
        </w:rPr>
      </w:pPr>
      <w:r>
        <w:rPr>
          <w:rFonts w:ascii="Marianne" w:hAnsi="Marianne" w:cs="Arial"/>
        </w:rPr>
        <w:br w:type="page"/>
      </w:r>
    </w:p>
    <w:p>
      <w:pPr>
        <w:pStyle w:val="Default"/>
        <w:jc w:val="both"/>
        <w:rPr>
          <w:rFonts w:ascii="Marianne" w:hAnsi="Marianne" w:cs="Arial"/>
          <w:sz w:val="22"/>
          <w:szCs w:val="22"/>
        </w:rPr>
      </w:pPr>
      <w:r>
        <w:rPr>
          <w:rFonts w:ascii="Marianne" w:hAnsi="Marianne" w:cs="Arial"/>
          <w:b/>
          <w:bCs/>
          <w:sz w:val="22"/>
          <w:szCs w:val="22"/>
        </w:rPr>
        <w:lastRenderedPageBreak/>
        <w:t xml:space="preserve">V. Obligations du CISIRH vis-à-vis du titulaire du marché  </w:t>
      </w:r>
    </w:p>
    <w:p>
      <w:pPr>
        <w:pStyle w:val="Default"/>
        <w:jc w:val="both"/>
        <w:rPr>
          <w:rFonts w:ascii="Marianne" w:hAnsi="Marianne" w:cs="Arial"/>
          <w:sz w:val="22"/>
          <w:szCs w:val="22"/>
        </w:rPr>
      </w:pPr>
    </w:p>
    <w:p>
      <w:pPr>
        <w:pStyle w:val="Default"/>
        <w:jc w:val="both"/>
        <w:rPr>
          <w:rFonts w:ascii="Marianne" w:hAnsi="Marianne" w:cs="Arial"/>
          <w:sz w:val="22"/>
          <w:szCs w:val="22"/>
        </w:rPr>
      </w:pPr>
      <w:r>
        <w:rPr>
          <w:rFonts w:ascii="Marianne" w:hAnsi="Marianne" w:cs="Arial"/>
          <w:sz w:val="22"/>
          <w:szCs w:val="22"/>
        </w:rPr>
        <w:t xml:space="preserve">Le CISIRH s’engage à veiller, au préalable et pendant toute la durée du traitement, au respect des obligations prévues par le règlement européen sur la protection des données de la part du sous-traitant </w:t>
      </w:r>
    </w:p>
    <w:p>
      <w:pPr>
        <w:spacing w:after="0" w:line="240" w:lineRule="auto"/>
        <w:jc w:val="both"/>
        <w:rPr>
          <w:rFonts w:ascii="Marianne" w:hAnsi="Marianne" w:cs="Arial"/>
        </w:rPr>
      </w:pPr>
    </w:p>
    <w:sectPr>
      <w:headerReference w:type="default" r:id="rId7"/>
      <w:footerReference w:type="default" r:id="rId8"/>
      <w:pgSz w:w="11906" w:h="17338"/>
      <w:pgMar w:top="1417" w:right="1417" w:bottom="1417"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cs="Arial"/>
        <w:noProof/>
        <w:sz w:val="16"/>
        <w:lang w:eastAsia="fr-FR"/>
      </w:rPr>
    </w:pPr>
    <w:r>
      <w:rPr>
        <w:rFonts w:ascii="Marianne" w:hAnsi="Marianne" w:cs="Arial"/>
        <w:noProof/>
        <w:sz w:val="16"/>
        <w:lang w:eastAsia="fr-FR"/>
      </w:rPr>
      <w:t>41, Boulevard Vincent Auriol</w:t>
    </w:r>
  </w:p>
  <w:p>
    <w:pPr>
      <w:pStyle w:val="Pieddepage"/>
      <w:rPr>
        <w:rFonts w:ascii="Marianne" w:hAnsi="Marianne" w:cs="Arial"/>
        <w:noProof/>
        <w:sz w:val="16"/>
        <w:lang w:eastAsia="fr-FR"/>
      </w:rPr>
    </w:pPr>
    <w:r>
      <w:rPr>
        <w:rFonts w:ascii="Marianne" w:hAnsi="Marianne" w:cs="Arial"/>
        <w:noProof/>
        <w:sz w:val="16"/>
        <w:lang w:eastAsia="fr-FR"/>
      </w:rPr>
      <w:t>75013 PARIS</w:t>
    </w:r>
  </w:p>
  <w:p>
    <w:pPr>
      <w:pStyle w:val="Pieddepage"/>
      <w:rPr>
        <w:rFonts w:ascii="Marianne" w:hAnsi="Marianne" w:cs="Arial"/>
        <w:sz w:val="16"/>
      </w:rPr>
    </w:pPr>
    <w:hyperlink r:id="rId1" w:history="1">
      <w:r>
        <w:rPr>
          <w:rStyle w:val="Lienhypertexte"/>
          <w:rFonts w:ascii="Marianne" w:hAnsi="Marianne" w:cs="Arial"/>
          <w:noProof/>
          <w:sz w:val="16"/>
          <w:lang w:eastAsia="fr-FR"/>
        </w:rPr>
        <w:t>www.economie.gouv.fr/cisirh</w:t>
      </w:r>
    </w:hyperlink>
    <w:r>
      <w:rPr>
        <w:rFonts w:ascii="Marianne" w:hAnsi="Marianne" w:cs="Arial"/>
        <w:sz w:val="16"/>
      </w:rPr>
      <w:ptab w:relativeTo="margin" w:alignment="center" w:leader="none"/>
    </w:r>
    <w:r>
      <w:rPr>
        <w:rFonts w:ascii="Marianne" w:hAnsi="Marianne" w:cs="Arial"/>
        <w:sz w:val="16"/>
      </w:rPr>
      <w:fldChar w:fldCharType="begin"/>
    </w:r>
    <w:r>
      <w:rPr>
        <w:rFonts w:ascii="Marianne" w:hAnsi="Marianne" w:cs="Arial"/>
        <w:sz w:val="16"/>
      </w:rPr>
      <w:instrText>PAGE   \* MERGEFORMAT</w:instrText>
    </w:r>
    <w:r>
      <w:rPr>
        <w:rFonts w:ascii="Marianne" w:hAnsi="Marianne" w:cs="Arial"/>
        <w:sz w:val="16"/>
      </w:rPr>
      <w:fldChar w:fldCharType="separate"/>
    </w:r>
    <w:r>
      <w:rPr>
        <w:rFonts w:ascii="Marianne" w:hAnsi="Marianne" w:cs="Arial"/>
        <w:noProof/>
        <w:sz w:val="16"/>
      </w:rPr>
      <w:t>6</w:t>
    </w:r>
    <w:r>
      <w:rPr>
        <w:rFonts w:ascii="Marianne" w:hAnsi="Marianne" w:cs="Arial"/>
        <w:sz w:val="16"/>
      </w:rPr>
      <w:fldChar w:fldCharType="end"/>
    </w:r>
    <w:r>
      <w:rPr>
        <w:rFonts w:ascii="Marianne" w:hAnsi="Marianne" w:cs="Arial"/>
        <w:sz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062" w:type="dxa"/>
      <w:tblLayout w:type="fixed"/>
      <w:tblLook w:val="04A0" w:firstRow="1" w:lastRow="0" w:firstColumn="1" w:lastColumn="0" w:noHBand="0" w:noVBand="1"/>
    </w:tblPr>
    <w:tblGrid>
      <w:gridCol w:w="2263"/>
      <w:gridCol w:w="3828"/>
      <w:gridCol w:w="2971"/>
    </w:tblGrid>
    <w:tr>
      <w:trPr>
        <w:trHeight w:val="1408"/>
      </w:trPr>
      <w:tc>
        <w:tcPr>
          <w:tcW w:w="2263" w:type="dxa"/>
          <w:vAlign w:val="center"/>
        </w:tcPr>
        <w:p>
          <w:pPr>
            <w:pStyle w:val="En-tte"/>
          </w:pPr>
          <w:r>
            <w:rPr>
              <w:noProof/>
            </w:rPr>
            <w:drawing>
              <wp:inline distT="0" distB="0" distL="0" distR="0">
                <wp:extent cx="1299845" cy="63119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299845" cy="631190"/>
                        </a:xfrm>
                        <a:prstGeom prst="rect">
                          <a:avLst/>
                        </a:prstGeom>
                      </pic:spPr>
                    </pic:pic>
                  </a:graphicData>
                </a:graphic>
              </wp:inline>
            </w:drawing>
          </w:r>
        </w:p>
      </w:tc>
      <w:tc>
        <w:tcPr>
          <w:tcW w:w="3828" w:type="dxa"/>
          <w:vAlign w:val="center"/>
        </w:tcPr>
        <w:p>
          <w:pPr>
            <w:pStyle w:val="En-tte"/>
            <w:jc w:val="center"/>
            <w:rPr>
              <w:rFonts w:ascii="Marianne" w:hAnsi="Marianne" w:cs="Arial"/>
              <w:b/>
              <w:sz w:val="24"/>
            </w:rPr>
          </w:pPr>
          <w:r>
            <w:rPr>
              <w:rFonts w:ascii="Marianne" w:hAnsi="Marianne" w:cs="Arial"/>
              <w:b/>
              <w:sz w:val="24"/>
            </w:rPr>
            <w:t>Marché_CISIRH_TMA_CTDSN_2026_CCAP</w:t>
          </w:r>
        </w:p>
        <w:p>
          <w:pPr>
            <w:pStyle w:val="En-tte"/>
            <w:jc w:val="center"/>
          </w:pPr>
          <w:r>
            <w:rPr>
              <w:rFonts w:ascii="Marianne" w:hAnsi="Marianne" w:cs="Arial"/>
              <w:b/>
              <w:sz w:val="24"/>
            </w:rPr>
            <w:t>Annexe 3</w:t>
          </w:r>
        </w:p>
      </w:tc>
      <w:tc>
        <w:tcPr>
          <w:tcW w:w="2971" w:type="dxa"/>
          <w:vAlign w:val="center"/>
        </w:tcPr>
        <w:p>
          <w:pPr>
            <w:pStyle w:val="En-tte"/>
            <w:jc w:val="right"/>
          </w:pPr>
          <w:r>
            <w:rPr>
              <w:noProof/>
              <w:lang w:eastAsia="fr-FR"/>
            </w:rPr>
            <w:drawing>
              <wp:inline distT="0" distB="0" distL="0" distR="0">
                <wp:extent cx="1550350" cy="648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tete word.png"/>
                        <pic:cNvPicPr/>
                      </pic:nvPicPr>
                      <pic:blipFill rotWithShape="1">
                        <a:blip r:embed="rId2" cstate="print">
                          <a:extLst>
                            <a:ext uri="{28A0092B-C50C-407E-A947-70E740481C1C}">
                              <a14:useLocalDpi xmlns:a14="http://schemas.microsoft.com/office/drawing/2010/main" val="0"/>
                            </a:ext>
                          </a:extLst>
                        </a:blip>
                        <a:srcRect l="53900"/>
                        <a:stretch/>
                      </pic:blipFill>
                      <pic:spPr bwMode="auto">
                        <a:xfrm>
                          <a:off x="0" y="0"/>
                          <a:ext cx="1550350" cy="648000"/>
                        </a:xfrm>
                        <a:prstGeom prst="rect">
                          <a:avLst/>
                        </a:prstGeom>
                        <a:ln>
                          <a:noFill/>
                        </a:ln>
                        <a:extLst>
                          <a:ext uri="{53640926-AAD7-44D8-BBD7-CCE9431645EC}">
                            <a14:shadowObscured xmlns:a14="http://schemas.microsoft.com/office/drawing/2010/main"/>
                          </a:ext>
                        </a:extLst>
                      </pic:spPr>
                    </pic:pic>
                  </a:graphicData>
                </a:graphic>
              </wp:inline>
            </w:drawing>
          </w:r>
        </w:p>
      </w:tc>
    </w:tr>
  </w:tbl>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34CC9"/>
    <w:multiLevelType w:val="hybridMultilevel"/>
    <w:tmpl w:val="82264FA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4C9E1922"/>
    <w:multiLevelType w:val="hybridMultilevel"/>
    <w:tmpl w:val="A05460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70484D5D"/>
    <w:multiLevelType w:val="hybridMultilevel"/>
    <w:tmpl w:val="3E3C180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055A6B-293A-4ED4-92B3-BE6079B30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Georgia" w:hAnsi="Georgia" w:cs="Georgia"/>
      <w:color w:val="000000"/>
      <w:sz w:val="24"/>
      <w:szCs w:val="24"/>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En-tte">
    <w:name w:val="header"/>
    <w:aliases w:val="En-tête1,E.e,E,En-tête11,E.e1,E1,En-tête-1,En-tête-2"/>
    <w:basedOn w:val="Normal"/>
    <w:link w:val="En-tteCar"/>
    <w:uiPriority w:val="99"/>
    <w:unhideWhenUsed/>
    <w:pPr>
      <w:tabs>
        <w:tab w:val="center" w:pos="4536"/>
        <w:tab w:val="right" w:pos="9072"/>
      </w:tabs>
      <w:spacing w:after="0" w:line="240" w:lineRule="auto"/>
    </w:pPr>
  </w:style>
  <w:style w:type="character" w:customStyle="1" w:styleId="En-tteCar">
    <w:name w:val="En-tête Car"/>
    <w:aliases w:val="En-tête1 Car,E.e Car,E Car,En-tête11 Car,E.e1 Car,E1 Car,En-tête-1 Car,En-tête-2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35609">
      <w:bodyDiv w:val="1"/>
      <w:marLeft w:val="0"/>
      <w:marRight w:val="0"/>
      <w:marTop w:val="0"/>
      <w:marBottom w:val="0"/>
      <w:divBdr>
        <w:top w:val="none" w:sz="0" w:space="0" w:color="auto"/>
        <w:left w:val="none" w:sz="0" w:space="0" w:color="auto"/>
        <w:bottom w:val="none" w:sz="0" w:space="0" w:color="auto"/>
        <w:right w:val="none" w:sz="0" w:space="0" w:color="auto"/>
      </w:divBdr>
    </w:div>
    <w:div w:id="912736071">
      <w:bodyDiv w:val="1"/>
      <w:marLeft w:val="0"/>
      <w:marRight w:val="0"/>
      <w:marTop w:val="0"/>
      <w:marBottom w:val="0"/>
      <w:divBdr>
        <w:top w:val="none" w:sz="0" w:space="0" w:color="auto"/>
        <w:left w:val="none" w:sz="0" w:space="0" w:color="auto"/>
        <w:bottom w:val="none" w:sz="0" w:space="0" w:color="auto"/>
        <w:right w:val="none" w:sz="0" w:space="0" w:color="auto"/>
      </w:divBdr>
    </w:div>
    <w:div w:id="14950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file:///C:\Users\mponthiaux-adc\Desktop\Intranet\Logo%20Charte%20graphique\www.economie.gouv.fr\cisirh"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1628</Words>
  <Characters>8960</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FROMENT Isabelle</dc:creator>
  <cp:keywords/>
  <dc:description/>
  <cp:lastModifiedBy>FROMENT Isabelle</cp:lastModifiedBy>
  <cp:revision>11</cp:revision>
  <dcterms:created xsi:type="dcterms:W3CDTF">2022-12-08T08:11:00Z</dcterms:created>
  <dcterms:modified xsi:type="dcterms:W3CDTF">2025-11-26T13:31:00Z</dcterms:modified>
</cp:coreProperties>
</file>